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7"/>
        <w:gridCol w:w="2188"/>
        <w:gridCol w:w="2188"/>
      </w:tblGrid>
      <w:tr w:rsidR="00FB0F60" w:rsidRPr="00FB0F60" w:rsidTr="00FB0F60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B0F60" w:rsidRPr="00FB0F60" w:rsidRDefault="00FB0F60" w:rsidP="00FB0F6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59:</w:t>
            </w:r>
            <w:r w:rsidRPr="00FB0F6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Centrelink payments compliance activity</w:t>
            </w:r>
          </w:p>
        </w:tc>
      </w:tr>
      <w:tr w:rsidR="00FB0F60" w:rsidRPr="00FB0F60" w:rsidTr="00FB0F6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  <w:r w:rsidRPr="00FB0F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  <w:r w:rsidRPr="00FB0F6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FB0F60" w:rsidRPr="00FB0F60" w:rsidTr="00FB0F6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Interventions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1.9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866,597</w:t>
            </w:r>
          </w:p>
        </w:tc>
      </w:tr>
      <w:tr w:rsidR="00FB0F60" w:rsidRPr="00FB0F60" w:rsidTr="00FB0F6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Reductions in payments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280,962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85,318</w:t>
            </w:r>
          </w:p>
        </w:tc>
      </w:tr>
      <w:tr w:rsidR="00FB0F60" w:rsidRPr="00FB0F60" w:rsidTr="00FB0F6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Fortnightly savings in future outlays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$58.2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$20.9 million</w:t>
            </w:r>
          </w:p>
        </w:tc>
      </w:tr>
      <w:tr w:rsidR="00FB0F60" w:rsidRPr="00FB0F60" w:rsidTr="00FB0F6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Prevented outlays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  <w:r w:rsidRPr="00FB0F6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$89.4 million</w:t>
            </w:r>
          </w:p>
        </w:tc>
      </w:tr>
      <w:tr w:rsidR="00FB0F60" w:rsidRPr="00FB0F60" w:rsidTr="00FB0F6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Debts raised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169,588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109,619</w:t>
            </w:r>
          </w:p>
        </w:tc>
      </w:tr>
      <w:tr w:rsidR="00FB0F60" w:rsidRPr="00FB0F60" w:rsidTr="00FB0F6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debt value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$337.3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0F60" w:rsidRPr="00FB0F60" w:rsidRDefault="00FB0F60" w:rsidP="00FB0F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B0F6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$219.9 million</w:t>
            </w:r>
          </w:p>
        </w:tc>
      </w:tr>
    </w:tbl>
    <w:p w:rsidR="00FB0F60" w:rsidRDefault="00FB0F60" w:rsidP="00FB0F6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FB0F60" w:rsidRPr="00FB0F60" w:rsidRDefault="00FB0F60" w:rsidP="00FB0F6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FB0F60">
        <w:rPr>
          <w:rFonts w:ascii="Verdana" w:eastAsia="Times New Roman" w:hAnsi="Verdana" w:cs="Times New Roman"/>
          <w:sz w:val="15"/>
          <w:szCs w:val="15"/>
          <w:lang w:val="en" w:eastAsia="en-AU"/>
        </w:rPr>
        <w:t>1. The figure reported in 2011–12 represents all departmental reviews and interventions, including general circumstance reviews.</w:t>
      </w:r>
    </w:p>
    <w:p w:rsidR="00FB0F60" w:rsidRPr="00FB0F60" w:rsidRDefault="00FB0F60" w:rsidP="00FB0F6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FB0F60">
        <w:rPr>
          <w:rFonts w:ascii="Verdana" w:eastAsia="Times New Roman" w:hAnsi="Verdana" w:cs="Times New Roman"/>
          <w:sz w:val="15"/>
          <w:szCs w:val="15"/>
          <w:lang w:val="en" w:eastAsia="en-AU"/>
        </w:rPr>
        <w:t>2. The figure reported for 2012–13 is specific to targeted compliance interventions only, aligned to the department’s risk-based approach.</w:t>
      </w:r>
    </w:p>
    <w:p w:rsidR="00FB0F60" w:rsidRPr="00FB0F60" w:rsidRDefault="00FB0F60" w:rsidP="00FB0F60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FB0F60">
        <w:rPr>
          <w:rFonts w:ascii="Verdana" w:eastAsia="Times New Roman" w:hAnsi="Verdana" w:cs="Times New Roman"/>
          <w:sz w:val="15"/>
          <w:szCs w:val="15"/>
          <w:lang w:val="en" w:eastAsia="en-AU"/>
        </w:rPr>
        <w:t>3. Agreed measurement of prevented outlays did not commence until 2012–13.</w:t>
      </w:r>
    </w:p>
    <w:p w:rsidR="006F7EF6" w:rsidRPr="00FB0F60" w:rsidRDefault="006F7EF6" w:rsidP="00FB0F60"/>
    <w:sectPr w:rsidR="006F7EF6" w:rsidRPr="00FB0F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CE1"/>
    <w:rsid w:val="006F7EF6"/>
    <w:rsid w:val="00CE3CE1"/>
    <w:rsid w:val="00FB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E3CE1"/>
    <w:rPr>
      <w:b/>
      <w:bCs/>
    </w:rPr>
  </w:style>
  <w:style w:type="paragraph" w:customStyle="1" w:styleId="fs90">
    <w:name w:val="fs90"/>
    <w:basedOn w:val="Normal"/>
    <w:rsid w:val="00FB0F6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E3CE1"/>
    <w:rPr>
      <w:b/>
      <w:bCs/>
    </w:rPr>
  </w:style>
  <w:style w:type="paragraph" w:customStyle="1" w:styleId="fs90">
    <w:name w:val="fs90"/>
    <w:basedOn w:val="Normal"/>
    <w:rsid w:val="00FB0F6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5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2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52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1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61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87580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2014-02-24T04:12:00Z</dcterms:created>
  <dcterms:modified xsi:type="dcterms:W3CDTF">2014-03-04T22:54:00Z</dcterms:modified>
</cp:coreProperties>
</file>